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Whistleblowing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Proprietor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enable staff and volunteers to raise concerns about wrongdoing, unsafe practice, or safeguarding failures without fear of victimisation.</w:t>
      </w:r>
    </w:p>
    <w:p>
      <w:pPr>
        <w:pStyle w:val="Heading1"/>
      </w:pPr>
      <w:r>
        <w:t>Scope</w:t>
      </w:r>
    </w:p>
    <w:p>
      <w:r>
        <w:t>All staff, volunteers, students, and contractors working for or on behalf of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Concerns raised in good faith will be taken seriously and handled sensitively.</w:t>
      </w:r>
    </w:p>
    <w:p>
      <w:pPr>
        <w:pStyle w:val="ListBullet"/>
        <w:spacing w:after="40"/>
      </w:pPr>
      <w:r>
        <w:t>People raising concerns should not suffer detriment for doing so.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Examples include unsafe staffing, poor safeguarding practice, cover-up of incidents, fraud, discrimination, abuse of power, or serious breaches of policy or law.</w:t>
      </w:r>
    </w:p>
    <w:p>
      <w:pPr>
        <w:pStyle w:val="ListBullet"/>
        <w:spacing w:after="40"/>
      </w:pPr>
      <w:r>
        <w:t>Whistleblowing concerns may be raised internally or, where necessary, to an external authority.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Concerns should be reported as soon as possible to the senior manager or nominated owner-level contact.</w:t>
      </w:r>
    </w:p>
    <w:p>
      <w:pPr>
        <w:pStyle w:val="ListBullet"/>
        <w:spacing w:after="40"/>
      </w:pPr>
      <w:r>
        <w:t>A record will be created, the concern assessed, and next steps communicated as far as confidentiality permits.</w:t>
      </w:r>
    </w:p>
    <w:p>
      <w:pPr>
        <w:pStyle w:val="ListBullet"/>
        <w:spacing w:after="40"/>
      </w:pPr>
      <w:r>
        <w:t>Safeguarding or criminal issues will be referred immediately through the appropriate channels.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Whistleblowing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